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sz w:val="24"/>
        </w:rPr>
      </w:pPr>
      <w:bookmarkStart w:id="0" w:name="_GoBack"/>
      <w:r>
        <w:rPr>
          <w:rFonts w:hint="eastAsia" w:ascii="宋体" w:hAnsi="宋体" w:cs="宋体"/>
          <w:b/>
          <w:sz w:val="24"/>
        </w:rPr>
        <w:t>附件2</w:t>
      </w:r>
      <w:bookmarkEnd w:id="0"/>
      <w:r>
        <w:rPr>
          <w:rFonts w:hint="eastAsia" w:ascii="宋体" w:hAnsi="宋体" w:cs="宋体"/>
          <w:b/>
          <w:sz w:val="24"/>
        </w:rPr>
        <w:t xml:space="preserve">. </w:t>
      </w:r>
    </w:p>
    <w:p>
      <w:pPr>
        <w:widowControl/>
        <w:shd w:val="clear" w:color="auto" w:fill="FFFFFF"/>
        <w:ind w:right="-58" w:firstLine="42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报价一览表</w:t>
      </w:r>
    </w:p>
    <w:p>
      <w:pPr>
        <w:ind w:firstLine="482" w:firstLineChars="200"/>
        <w:jc w:val="center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ind w:firstLine="482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</w:rPr>
        <w:t>广州市体育彩票管理中心公交车车身广告监督绩效评估服务项目</w:t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Style w:val="2"/>
        <w:tblpPr w:leftFromText="180" w:rightFromText="180" w:vertAnchor="text" w:horzAnchor="page" w:tblpX="2245" w:tblpY="206"/>
        <w:tblOverlap w:val="never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总报价（人民币：元）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noWrap w:val="0"/>
            <w:vAlign w:val="top"/>
          </w:tcPr>
          <w:p>
            <w:pPr>
              <w:spacing w:line="480" w:lineRule="auto"/>
              <w:ind w:right="6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right="640"/>
        <w:rPr>
          <w:rFonts w:ascii="宋体" w:hAnsi="宋体"/>
          <w:sz w:val="24"/>
          <w:szCs w:val="24"/>
        </w:rPr>
      </w:pPr>
    </w:p>
    <w:p>
      <w:pPr>
        <w:ind w:right="6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注： </w:t>
      </w:r>
    </w:p>
    <w:p>
      <w:pPr>
        <w:ind w:right="6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 报价人</w:t>
      </w:r>
      <w:r>
        <w:rPr>
          <w:rFonts w:hint="eastAsia" w:ascii="宋体" w:hAnsi="宋体"/>
          <w:color w:val="000000"/>
          <w:sz w:val="24"/>
          <w:szCs w:val="24"/>
        </w:rPr>
        <w:t>应按“采购公告”的</w:t>
      </w:r>
      <w:r>
        <w:rPr>
          <w:rFonts w:hint="eastAsia" w:ascii="宋体" w:hAnsi="宋体"/>
          <w:sz w:val="24"/>
          <w:szCs w:val="24"/>
        </w:rPr>
        <w:t>要求，根据实际情况进行报价,不得超过本项目预算金额，不得含有任何对本报价进行修改的其他说明，否则将被视为无效投标；</w:t>
      </w:r>
    </w:p>
    <w:p>
      <w:pPr>
        <w:ind w:right="6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 投标报价包括与服务相关的一切费用；</w:t>
      </w:r>
    </w:p>
    <w:p>
      <w:pPr>
        <w:ind w:right="6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3、对含糊不清或不确定的报价将视为无效报价。</w:t>
      </w:r>
    </w:p>
    <w:p>
      <w:pPr>
        <w:spacing w:line="360" w:lineRule="auto"/>
        <w:ind w:right="64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64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64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报价人名称（加盖公章）：</w:t>
      </w:r>
    </w:p>
    <w:p>
      <w:pPr>
        <w:spacing w:line="360" w:lineRule="auto"/>
        <w:rPr>
          <w:rFonts w:hint="eastAsia" w:ascii="宋体" w:hAnsi="宋体" w:cs="Arial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报价人法定代表人或授权代表签字：</w:t>
      </w:r>
      <w:r>
        <w:rPr>
          <w:rFonts w:ascii="宋体" w:hAnsi="宋体"/>
          <w:sz w:val="24"/>
        </w:rPr>
        <w:t xml:space="preserve"> _____________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4113"/>
    <w:rsid w:val="017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2020-11-23T02:57:00Z</dcterms:created>
  <dc:creator>月1408163091</dc:creator>
  <cp:lastModifiedBy>月1408163091</cp:lastModifiedBy>
  <dcterms:modified xsi:type="dcterms:W3CDTF">2020-11-23T03:12:50Z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